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79" w:rsidRDefault="00696528" w:rsidP="00810524">
      <w:pPr>
        <w:ind w:firstLine="0"/>
        <w:jc w:val="center"/>
        <w:rPr>
          <w:b/>
        </w:rPr>
      </w:pPr>
      <w:r w:rsidRPr="00696528">
        <w:rPr>
          <w:b/>
          <w:szCs w:val="28"/>
        </w:rPr>
        <w:t>Расчет</w:t>
      </w:r>
      <w:r w:rsidRPr="00696528">
        <w:rPr>
          <w:b/>
        </w:rPr>
        <w:t xml:space="preserve"> фактическ</w:t>
      </w:r>
      <w:r w:rsidR="004C1D79">
        <w:rPr>
          <w:b/>
        </w:rPr>
        <w:t>их</w:t>
      </w:r>
      <w:r w:rsidRPr="00696528">
        <w:rPr>
          <w:b/>
        </w:rPr>
        <w:t xml:space="preserve"> показател</w:t>
      </w:r>
      <w:r w:rsidR="004C1D79">
        <w:rPr>
          <w:b/>
        </w:rPr>
        <w:t>ей</w:t>
      </w:r>
      <w:r w:rsidRPr="00696528">
        <w:rPr>
          <w:b/>
        </w:rPr>
        <w:t xml:space="preserve"> </w:t>
      </w:r>
      <w:r w:rsidR="00332BD8" w:rsidRPr="00332BD8">
        <w:rPr>
          <w:b/>
        </w:rPr>
        <w:t>энергетической эффективности</w:t>
      </w:r>
      <w:r w:rsidR="004C1D79">
        <w:rPr>
          <w:b/>
        </w:rPr>
        <w:t xml:space="preserve"> </w:t>
      </w:r>
    </w:p>
    <w:p w:rsidR="00696528" w:rsidRPr="00696528" w:rsidRDefault="00696528" w:rsidP="00810524">
      <w:pPr>
        <w:ind w:firstLine="0"/>
        <w:jc w:val="center"/>
        <w:rPr>
          <w:b/>
          <w:szCs w:val="28"/>
        </w:rPr>
      </w:pPr>
      <w:r w:rsidRPr="00633E5C">
        <w:rPr>
          <w:b/>
          <w:szCs w:val="28"/>
        </w:rPr>
        <w:t>МУП «</w:t>
      </w:r>
      <w:r w:rsidR="002B237C">
        <w:rPr>
          <w:b/>
          <w:szCs w:val="28"/>
        </w:rPr>
        <w:t>Водоканал</w:t>
      </w:r>
      <w:r w:rsidRPr="00633E5C">
        <w:rPr>
          <w:b/>
          <w:szCs w:val="28"/>
        </w:rPr>
        <w:t>»</w:t>
      </w:r>
    </w:p>
    <w:p w:rsidR="00696528" w:rsidRDefault="00696528" w:rsidP="000C0C6D">
      <w:pPr>
        <w:rPr>
          <w:szCs w:val="28"/>
        </w:rPr>
      </w:pPr>
    </w:p>
    <w:p w:rsidR="00211B72" w:rsidRDefault="00332BD8" w:rsidP="00C74033">
      <w:pPr>
        <w:pStyle w:val="a5"/>
        <w:numPr>
          <w:ilvl w:val="0"/>
          <w:numId w:val="4"/>
        </w:numPr>
        <w:ind w:left="284" w:hanging="284"/>
      </w:pPr>
      <w:proofErr w:type="gramStart"/>
      <w:r>
        <w:t xml:space="preserve">Фактическое значение показателя энергетической эффективности, определяемого удельным расходом топлива на производство единицы тепловой энергии, отпускаемой с коллекторов источников тепловой энергии, рассчитывается в </w:t>
      </w:r>
      <w:r w:rsidR="00211B72">
        <w:t>соответствии с пунктом 36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утвержденных постановлением Правительства РФ от</w:t>
      </w:r>
      <w:proofErr w:type="gramEnd"/>
      <w:r w:rsidR="00211B72">
        <w:t xml:space="preserve"> 16 мая 2014 г. № 452</w:t>
      </w:r>
    </w:p>
    <w:p w:rsidR="00332BD8" w:rsidRDefault="00332BD8" w:rsidP="000C0C6D">
      <w:pPr>
        <w:rPr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3543"/>
        <w:gridCol w:w="1554"/>
        <w:gridCol w:w="3549"/>
      </w:tblGrid>
      <w:tr w:rsidR="00732CF3" w:rsidTr="00732CF3">
        <w:tc>
          <w:tcPr>
            <w:tcW w:w="1101" w:type="dxa"/>
          </w:tcPr>
          <w:p w:rsidR="00732CF3" w:rsidRDefault="00732CF3" w:rsidP="00211B7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Период</w:t>
            </w:r>
          </w:p>
        </w:tc>
        <w:tc>
          <w:tcPr>
            <w:tcW w:w="3543" w:type="dxa"/>
          </w:tcPr>
          <w:p w:rsidR="00732CF3" w:rsidRDefault="00732CF3" w:rsidP="00211B7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Объект теплоснабжения</w:t>
            </w:r>
          </w:p>
        </w:tc>
        <w:tc>
          <w:tcPr>
            <w:tcW w:w="1554" w:type="dxa"/>
          </w:tcPr>
          <w:p w:rsidR="00732CF3" w:rsidRDefault="00732CF3" w:rsidP="00211B72">
            <w:pPr>
              <w:ind w:firstLine="0"/>
              <w:jc w:val="center"/>
            </w:pPr>
            <w:r>
              <w:t>Нормативы удельного расхода топлива на отпущенную тепловую энергию,</w:t>
            </w:r>
          </w:p>
          <w:p w:rsidR="00732CF3" w:rsidRDefault="00732CF3" w:rsidP="00211B72">
            <w:pPr>
              <w:ind w:firstLine="0"/>
              <w:jc w:val="center"/>
              <w:rPr>
                <w:szCs w:val="28"/>
              </w:rPr>
            </w:pP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 *</w:t>
            </w:r>
          </w:p>
        </w:tc>
        <w:tc>
          <w:tcPr>
            <w:tcW w:w="3549" w:type="dxa"/>
          </w:tcPr>
          <w:p w:rsidR="00732CF3" w:rsidRDefault="00732CF3" w:rsidP="00211B72">
            <w:pPr>
              <w:ind w:firstLine="0"/>
              <w:jc w:val="center"/>
            </w:pPr>
            <w:r>
              <w:t>Фактическое значение показателя энергетической эффективности, определяемого удельным расходом топлива на производство единицы тепловой энергии, отпускаемой тепловой энергии,</w:t>
            </w:r>
          </w:p>
          <w:p w:rsidR="00732CF3" w:rsidRDefault="00732CF3" w:rsidP="00211B72">
            <w:pPr>
              <w:ind w:firstLine="0"/>
              <w:jc w:val="center"/>
              <w:rPr>
                <w:szCs w:val="28"/>
              </w:rPr>
            </w:pP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</w:tr>
      <w:tr w:rsidR="00732CF3" w:rsidTr="00732CF3">
        <w:tc>
          <w:tcPr>
            <w:tcW w:w="1101" w:type="dxa"/>
          </w:tcPr>
          <w:p w:rsidR="00732CF3" w:rsidRDefault="00732CF3" w:rsidP="002B237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2B237C">
              <w:rPr>
                <w:szCs w:val="28"/>
              </w:rPr>
              <w:t>9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3543" w:type="dxa"/>
          </w:tcPr>
          <w:p w:rsidR="00732CF3" w:rsidRDefault="002B237C" w:rsidP="000C0C6D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гог</w:t>
            </w:r>
            <w:proofErr w:type="spellEnd"/>
            <w:r>
              <w:rPr>
                <w:szCs w:val="28"/>
              </w:rPr>
              <w:t xml:space="preserve"> Шахунья д. </w:t>
            </w:r>
            <w:proofErr w:type="spellStart"/>
            <w:r>
              <w:rPr>
                <w:szCs w:val="28"/>
              </w:rPr>
              <w:t>Зубанья</w:t>
            </w:r>
            <w:proofErr w:type="spellEnd"/>
            <w:r>
              <w:rPr>
                <w:szCs w:val="28"/>
              </w:rPr>
              <w:t xml:space="preserve"> ул. </w:t>
            </w:r>
            <w:proofErr w:type="spellStart"/>
            <w:r>
              <w:rPr>
                <w:szCs w:val="28"/>
              </w:rPr>
              <w:t>Базовская</w:t>
            </w:r>
            <w:proofErr w:type="spellEnd"/>
          </w:p>
        </w:tc>
        <w:tc>
          <w:tcPr>
            <w:tcW w:w="1554" w:type="dxa"/>
          </w:tcPr>
          <w:p w:rsidR="00732CF3" w:rsidRDefault="002B237C" w:rsidP="00732CF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159,9</w:t>
            </w:r>
          </w:p>
        </w:tc>
        <w:tc>
          <w:tcPr>
            <w:tcW w:w="3549" w:type="dxa"/>
          </w:tcPr>
          <w:p w:rsidR="00732CF3" w:rsidRDefault="00D42BDF" w:rsidP="00C61C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158,7</w:t>
            </w:r>
          </w:p>
        </w:tc>
      </w:tr>
    </w:tbl>
    <w:p w:rsidR="004F3DDD" w:rsidRPr="00C74033" w:rsidRDefault="00C74033" w:rsidP="00C74033">
      <w:pPr>
        <w:rPr>
          <w:szCs w:val="28"/>
        </w:rPr>
      </w:pPr>
      <w:r>
        <w:rPr>
          <w:szCs w:val="28"/>
        </w:rPr>
        <w:t>*</w:t>
      </w:r>
      <w:proofErr w:type="gramStart"/>
      <w:r w:rsidR="00211B72" w:rsidRPr="00C74033">
        <w:rPr>
          <w:szCs w:val="28"/>
        </w:rPr>
        <w:t>Согласно Приказа</w:t>
      </w:r>
      <w:proofErr w:type="gramEnd"/>
      <w:r w:rsidR="00211B72" w:rsidRPr="00C74033">
        <w:rPr>
          <w:szCs w:val="28"/>
        </w:rPr>
        <w:t xml:space="preserve"> Министерства энергетики и ЖКХ Нижегородской области от </w:t>
      </w:r>
      <w:r w:rsidR="002B237C">
        <w:rPr>
          <w:szCs w:val="28"/>
        </w:rPr>
        <w:t>30.</w:t>
      </w:r>
      <w:r w:rsidR="007F4FF2">
        <w:rPr>
          <w:szCs w:val="28"/>
        </w:rPr>
        <w:t>11</w:t>
      </w:r>
      <w:r w:rsidR="002B237C">
        <w:rPr>
          <w:szCs w:val="28"/>
        </w:rPr>
        <w:t>.201</w:t>
      </w:r>
      <w:r w:rsidR="007F4FF2">
        <w:rPr>
          <w:szCs w:val="28"/>
        </w:rPr>
        <w:t>8</w:t>
      </w:r>
      <w:r w:rsidR="002B237C">
        <w:rPr>
          <w:szCs w:val="28"/>
        </w:rPr>
        <w:t xml:space="preserve"> г № </w:t>
      </w:r>
      <w:r w:rsidR="007F4FF2">
        <w:rPr>
          <w:szCs w:val="28"/>
        </w:rPr>
        <w:t>388</w:t>
      </w:r>
      <w:r w:rsidR="002B237C">
        <w:rPr>
          <w:szCs w:val="28"/>
        </w:rPr>
        <w:t xml:space="preserve"> </w:t>
      </w:r>
      <w:proofErr w:type="spellStart"/>
      <w:r w:rsidR="002B237C">
        <w:rPr>
          <w:szCs w:val="28"/>
        </w:rPr>
        <w:t>тэк</w:t>
      </w:r>
      <w:proofErr w:type="spellEnd"/>
      <w:r w:rsidR="002B237C">
        <w:rPr>
          <w:szCs w:val="28"/>
        </w:rPr>
        <w:t>.</w:t>
      </w:r>
    </w:p>
    <w:p w:rsidR="004F3DDD" w:rsidRDefault="004F3DDD" w:rsidP="000C0C6D">
      <w:pPr>
        <w:rPr>
          <w:szCs w:val="28"/>
        </w:rPr>
      </w:pPr>
    </w:p>
    <w:p w:rsidR="00211B72" w:rsidRDefault="00211B72" w:rsidP="00C74033">
      <w:pPr>
        <w:pStyle w:val="a5"/>
        <w:numPr>
          <w:ilvl w:val="0"/>
          <w:numId w:val="4"/>
        </w:numPr>
        <w:ind w:left="284" w:hanging="284"/>
      </w:pPr>
      <w:r>
        <w:t>Фактическое значение показателя величины технологических потерь при передаче тепловой энергии (Гкал/год), теплоносителя (тонн/год) по тепловым сетям рассчитывается в соответствии с пунктом 37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утвержденных постановлением Правительства РФ от 16 мая 2014 г. № 452</w:t>
      </w:r>
    </w:p>
    <w:p w:rsidR="00211B72" w:rsidRDefault="00211B72" w:rsidP="000C0C6D">
      <w: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3543"/>
        <w:gridCol w:w="1554"/>
        <w:gridCol w:w="3549"/>
      </w:tblGrid>
      <w:tr w:rsidR="00211B72" w:rsidTr="003D031E">
        <w:tc>
          <w:tcPr>
            <w:tcW w:w="1101" w:type="dxa"/>
          </w:tcPr>
          <w:p w:rsidR="00211B72" w:rsidRDefault="00211B72" w:rsidP="003D03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Период</w:t>
            </w:r>
          </w:p>
        </w:tc>
        <w:tc>
          <w:tcPr>
            <w:tcW w:w="3543" w:type="dxa"/>
          </w:tcPr>
          <w:p w:rsidR="00211B72" w:rsidRDefault="00211B72" w:rsidP="003D03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Объект теплоснабжения</w:t>
            </w:r>
          </w:p>
        </w:tc>
        <w:tc>
          <w:tcPr>
            <w:tcW w:w="1554" w:type="dxa"/>
          </w:tcPr>
          <w:p w:rsidR="00211B72" w:rsidRDefault="00211B72" w:rsidP="003D031E">
            <w:pPr>
              <w:ind w:firstLine="0"/>
              <w:jc w:val="center"/>
              <w:rPr>
                <w:szCs w:val="28"/>
              </w:rPr>
            </w:pPr>
            <w:r>
              <w:t>Нормативы потерь при передаче тепловой энергии, Гкал/год **</w:t>
            </w:r>
          </w:p>
        </w:tc>
        <w:tc>
          <w:tcPr>
            <w:tcW w:w="3549" w:type="dxa"/>
          </w:tcPr>
          <w:p w:rsidR="00211B72" w:rsidRDefault="00C74033" w:rsidP="00C74033">
            <w:pPr>
              <w:ind w:firstLine="0"/>
              <w:jc w:val="center"/>
              <w:rPr>
                <w:szCs w:val="28"/>
              </w:rPr>
            </w:pPr>
            <w:r>
              <w:t>Фактическое значение показателя величины технологических потерь при передаче тепловой энергии (Гкал/год) по тепловым сетям, Гкал/год</w:t>
            </w:r>
          </w:p>
        </w:tc>
      </w:tr>
      <w:tr w:rsidR="003531BB" w:rsidTr="003D031E">
        <w:tc>
          <w:tcPr>
            <w:tcW w:w="1101" w:type="dxa"/>
          </w:tcPr>
          <w:p w:rsidR="003531BB" w:rsidRPr="007F4FF2" w:rsidRDefault="003531BB" w:rsidP="007F4FF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3543" w:type="dxa"/>
          </w:tcPr>
          <w:p w:rsidR="003531BB" w:rsidRDefault="003531BB" w:rsidP="0077752F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гог</w:t>
            </w:r>
            <w:proofErr w:type="spellEnd"/>
            <w:r>
              <w:rPr>
                <w:szCs w:val="28"/>
              </w:rPr>
              <w:t xml:space="preserve"> Шахунья д. </w:t>
            </w:r>
            <w:proofErr w:type="spellStart"/>
            <w:r>
              <w:rPr>
                <w:szCs w:val="28"/>
              </w:rPr>
              <w:t>Зубанья</w:t>
            </w:r>
            <w:proofErr w:type="spellEnd"/>
            <w:r>
              <w:rPr>
                <w:szCs w:val="28"/>
              </w:rPr>
              <w:t xml:space="preserve"> ул. </w:t>
            </w:r>
            <w:proofErr w:type="spellStart"/>
            <w:r>
              <w:rPr>
                <w:szCs w:val="28"/>
              </w:rPr>
              <w:t>Базовская</w:t>
            </w:r>
            <w:proofErr w:type="spellEnd"/>
          </w:p>
        </w:tc>
        <w:tc>
          <w:tcPr>
            <w:tcW w:w="1554" w:type="dxa"/>
          </w:tcPr>
          <w:p w:rsidR="003531BB" w:rsidRDefault="003531BB" w:rsidP="003D031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49,3</w:t>
            </w:r>
          </w:p>
        </w:tc>
        <w:tc>
          <w:tcPr>
            <w:tcW w:w="3549" w:type="dxa"/>
          </w:tcPr>
          <w:p w:rsidR="003531BB" w:rsidRDefault="00996480" w:rsidP="002E72C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7F4FF2" w:rsidTr="007F4FF2">
        <w:trPr>
          <w:gridAfter w:val="3"/>
          <w:wAfter w:w="8646" w:type="dxa"/>
          <w:trHeight w:val="253"/>
        </w:trPr>
        <w:tc>
          <w:tcPr>
            <w:tcW w:w="1101" w:type="dxa"/>
            <w:vMerge w:val="restart"/>
            <w:tcBorders>
              <w:left w:val="nil"/>
              <w:right w:val="nil"/>
            </w:tcBorders>
          </w:tcPr>
          <w:p w:rsidR="007F4FF2" w:rsidRDefault="007F4FF2" w:rsidP="007F4FF2">
            <w:pPr>
              <w:jc w:val="center"/>
              <w:rPr>
                <w:szCs w:val="28"/>
              </w:rPr>
            </w:pPr>
          </w:p>
        </w:tc>
      </w:tr>
      <w:tr w:rsidR="007F4FF2" w:rsidTr="007F4FF2">
        <w:trPr>
          <w:gridAfter w:val="3"/>
          <w:wAfter w:w="8646" w:type="dxa"/>
          <w:trHeight w:val="253"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7F4FF2" w:rsidRDefault="007F4FF2" w:rsidP="003D031E">
            <w:pPr>
              <w:ind w:firstLine="0"/>
              <w:rPr>
                <w:szCs w:val="28"/>
              </w:rPr>
            </w:pPr>
          </w:p>
        </w:tc>
      </w:tr>
    </w:tbl>
    <w:p w:rsidR="00C74033" w:rsidRPr="00C74033" w:rsidRDefault="00C05F29" w:rsidP="00C05F29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C74033">
        <w:rPr>
          <w:szCs w:val="28"/>
        </w:rPr>
        <w:t>**</w:t>
      </w:r>
      <w:proofErr w:type="gramStart"/>
      <w:r w:rsidR="00C74033" w:rsidRPr="00C74033">
        <w:rPr>
          <w:szCs w:val="28"/>
        </w:rPr>
        <w:t>Согласно Приказа</w:t>
      </w:r>
      <w:proofErr w:type="gramEnd"/>
      <w:r w:rsidR="00C74033" w:rsidRPr="00C74033">
        <w:rPr>
          <w:szCs w:val="28"/>
        </w:rPr>
        <w:t xml:space="preserve"> Министерства энергетики и ЖКХ Нижегородской области от </w:t>
      </w:r>
      <w:r>
        <w:rPr>
          <w:szCs w:val="28"/>
        </w:rPr>
        <w:t>30.11.2018 г</w:t>
      </w:r>
      <w:r w:rsidR="00C74033" w:rsidRPr="00C74033">
        <w:rPr>
          <w:szCs w:val="28"/>
        </w:rPr>
        <w:t xml:space="preserve"> № </w:t>
      </w:r>
      <w:r>
        <w:rPr>
          <w:szCs w:val="28"/>
        </w:rPr>
        <w:t>389</w:t>
      </w:r>
      <w:r w:rsidR="00C74033" w:rsidRPr="00C74033">
        <w:rPr>
          <w:szCs w:val="28"/>
        </w:rPr>
        <w:t>тэк</w:t>
      </w:r>
    </w:p>
    <w:p w:rsidR="00211B72" w:rsidRDefault="00211B72" w:rsidP="000C0C6D"/>
    <w:p w:rsidR="00176058" w:rsidRDefault="00176058" w:rsidP="00BA4395">
      <w:pPr>
        <w:pStyle w:val="a5"/>
        <w:numPr>
          <w:ilvl w:val="0"/>
          <w:numId w:val="4"/>
        </w:numPr>
        <w:ind w:left="284" w:hanging="284"/>
      </w:pPr>
      <w:proofErr w:type="gramStart"/>
      <w:r>
        <w:t>Фактическое значение показателя энергетической эффективности объектов теплоснабжения, определяемого отношением величины технологических потерь тепловой энергии, теплоносителя к материальной характеристике тепловой сети определяется в соответствии с пунктом 38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утвержденных постановлением Правительства РФ от</w:t>
      </w:r>
      <w:proofErr w:type="gramEnd"/>
      <w:r>
        <w:t xml:space="preserve"> 16 мая 2014 г. № 452 и рассчитывается по формуле:</w:t>
      </w:r>
    </w:p>
    <w:p w:rsidR="00176058" w:rsidRDefault="00176058" w:rsidP="00176058">
      <w:pPr>
        <w:ind w:firstLine="698"/>
        <w:jc w:val="center"/>
      </w:pPr>
      <w:r>
        <w:rPr>
          <w:noProof/>
        </w:rPr>
        <w:drawing>
          <wp:inline distT="0" distB="0" distL="0" distR="0">
            <wp:extent cx="1435100" cy="26606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176058" w:rsidRDefault="00176058" w:rsidP="00176058">
      <w:r>
        <w:t>где:</w:t>
      </w:r>
    </w:p>
    <w:p w:rsidR="00176058" w:rsidRDefault="00176058" w:rsidP="00176058">
      <w:r>
        <w:rPr>
          <w:noProof/>
        </w:rPr>
        <w:lastRenderedPageBreak/>
        <w:drawing>
          <wp:inline distT="0" distB="0" distL="0" distR="0">
            <wp:extent cx="627380" cy="2660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величина технологических потерь при передаче тепловой энергии, теплоносителя по тепловым сетям, Гкал, тонн;</w:t>
      </w:r>
    </w:p>
    <w:p w:rsidR="00176058" w:rsidRDefault="00176058" w:rsidP="00176058">
      <w:r>
        <w:rPr>
          <w:noProof/>
        </w:rPr>
        <w:drawing>
          <wp:inline distT="0" distB="0" distL="0" distR="0">
            <wp:extent cx="382905" cy="2660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материальная характеристика тепловой сети (по видам теплоносителя - пар, конденсат, вода), определенная значением </w:t>
      </w:r>
      <w:proofErr w:type="gramStart"/>
      <w:r>
        <w:t>суммы произведений значений наружных диаметров трубопроводов отдельных участков тепловой</w:t>
      </w:r>
      <w:proofErr w:type="gramEnd"/>
      <w:r>
        <w:t xml:space="preserve"> сети (метров) на длину этих участков (метров). Материальная характеристика тепловой сети (квадратных метров) включает материальную характеристику всех участков тепловой сети.</w:t>
      </w:r>
    </w:p>
    <w:p w:rsidR="00176058" w:rsidRDefault="00176058" w:rsidP="000C0C6D"/>
    <w:tbl>
      <w:tblPr>
        <w:tblStyle w:val="a6"/>
        <w:tblW w:w="9747" w:type="dxa"/>
        <w:tblLook w:val="04A0"/>
      </w:tblPr>
      <w:tblGrid>
        <w:gridCol w:w="1101"/>
        <w:gridCol w:w="2126"/>
        <w:gridCol w:w="1816"/>
        <w:gridCol w:w="1676"/>
        <w:gridCol w:w="3028"/>
      </w:tblGrid>
      <w:tr w:rsidR="00BA4395" w:rsidTr="00BA4395">
        <w:tc>
          <w:tcPr>
            <w:tcW w:w="1101" w:type="dxa"/>
          </w:tcPr>
          <w:p w:rsidR="00BA4395" w:rsidRDefault="00BA4395" w:rsidP="000C0C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Период</w:t>
            </w:r>
          </w:p>
        </w:tc>
        <w:tc>
          <w:tcPr>
            <w:tcW w:w="2126" w:type="dxa"/>
          </w:tcPr>
          <w:p w:rsidR="00BA4395" w:rsidRDefault="00BA4395" w:rsidP="000C0C6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Объект теплоснабжения</w:t>
            </w:r>
          </w:p>
        </w:tc>
        <w:tc>
          <w:tcPr>
            <w:tcW w:w="1816" w:type="dxa"/>
          </w:tcPr>
          <w:p w:rsidR="00BA4395" w:rsidRDefault="00BA4395" w:rsidP="00BA4395">
            <w:pPr>
              <w:ind w:firstLine="0"/>
              <w:jc w:val="center"/>
              <w:rPr>
                <w:szCs w:val="28"/>
              </w:rPr>
            </w:pPr>
            <w:r>
              <w:t>Величина технологических потерь при передаче тепловой энергии по тепловым сетям, Гкал</w:t>
            </w:r>
          </w:p>
        </w:tc>
        <w:tc>
          <w:tcPr>
            <w:tcW w:w="1676" w:type="dxa"/>
          </w:tcPr>
          <w:p w:rsidR="00BA4395" w:rsidRDefault="00BA4395" w:rsidP="00BA4395">
            <w:pPr>
              <w:ind w:firstLine="0"/>
              <w:jc w:val="center"/>
              <w:rPr>
                <w:szCs w:val="28"/>
              </w:rPr>
            </w:pPr>
            <w:r>
              <w:t>Материальная характеристика тепловой сети, кв. м</w:t>
            </w:r>
          </w:p>
        </w:tc>
        <w:tc>
          <w:tcPr>
            <w:tcW w:w="3028" w:type="dxa"/>
          </w:tcPr>
          <w:p w:rsidR="00BA4395" w:rsidRDefault="00BA4395" w:rsidP="00BA4395">
            <w:pPr>
              <w:ind w:firstLine="0"/>
              <w:jc w:val="center"/>
              <w:rPr>
                <w:szCs w:val="28"/>
              </w:rPr>
            </w:pPr>
            <w:r>
              <w:t>Фактическое значение показателя энергетической эффективности объектов теплоснабжения, определяемого отношением величины технологических потерь тепловой энергии, теплоносителя к материальной характеристике тепловой сети, Гкал/кв</w:t>
            </w:r>
            <w:proofErr w:type="gramStart"/>
            <w:r>
              <w:t>.м</w:t>
            </w:r>
            <w:proofErr w:type="gramEnd"/>
          </w:p>
        </w:tc>
      </w:tr>
      <w:tr w:rsidR="00BA4395" w:rsidTr="00BA4395">
        <w:tc>
          <w:tcPr>
            <w:tcW w:w="1101" w:type="dxa"/>
          </w:tcPr>
          <w:p w:rsidR="00BA4395" w:rsidRDefault="00BA4395" w:rsidP="000C0C6D">
            <w:pPr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BA4395" w:rsidRDefault="00BA4395" w:rsidP="000C0C6D">
            <w:pPr>
              <w:ind w:firstLine="0"/>
              <w:rPr>
                <w:szCs w:val="28"/>
              </w:rPr>
            </w:pPr>
          </w:p>
        </w:tc>
        <w:tc>
          <w:tcPr>
            <w:tcW w:w="1816" w:type="dxa"/>
          </w:tcPr>
          <w:p w:rsidR="00BA4395" w:rsidRDefault="00BA4395" w:rsidP="00BA4395">
            <w:pPr>
              <w:ind w:firstLine="0"/>
              <w:jc w:val="center"/>
              <w:rPr>
                <w:szCs w:val="28"/>
              </w:rPr>
            </w:pPr>
            <w:r w:rsidRPr="00BA4395">
              <w:rPr>
                <w:noProof/>
                <w:szCs w:val="28"/>
              </w:rPr>
              <w:drawing>
                <wp:inline distT="0" distB="0" distL="0" distR="0">
                  <wp:extent cx="627380" cy="266065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BA4395" w:rsidRDefault="00BA4395" w:rsidP="00BA4395">
            <w:pPr>
              <w:ind w:firstLine="0"/>
              <w:jc w:val="center"/>
              <w:rPr>
                <w:szCs w:val="28"/>
              </w:rPr>
            </w:pPr>
            <w:r w:rsidRPr="00BA4395">
              <w:rPr>
                <w:noProof/>
                <w:szCs w:val="28"/>
              </w:rPr>
              <w:drawing>
                <wp:inline distT="0" distB="0" distL="0" distR="0">
                  <wp:extent cx="382905" cy="266065"/>
                  <wp:effectExtent l="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:rsidR="00BA4395" w:rsidRDefault="00BA4395" w:rsidP="00BA4395">
            <w:pPr>
              <w:ind w:firstLine="0"/>
              <w:jc w:val="center"/>
              <w:rPr>
                <w:szCs w:val="28"/>
              </w:rPr>
            </w:pPr>
            <w:r w:rsidRPr="00BA4395">
              <w:rPr>
                <w:noProof/>
                <w:szCs w:val="28"/>
              </w:rPr>
              <w:drawing>
                <wp:inline distT="0" distB="0" distL="0" distR="0">
                  <wp:extent cx="297815" cy="26606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B1E" w:rsidTr="001B28A0">
        <w:tc>
          <w:tcPr>
            <w:tcW w:w="1101" w:type="dxa"/>
          </w:tcPr>
          <w:p w:rsidR="00281B1E" w:rsidRDefault="00281B1E" w:rsidP="00281B1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2126" w:type="dxa"/>
          </w:tcPr>
          <w:p w:rsidR="00281B1E" w:rsidRDefault="00281B1E" w:rsidP="0077752F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гог</w:t>
            </w:r>
            <w:proofErr w:type="spellEnd"/>
            <w:r>
              <w:rPr>
                <w:szCs w:val="28"/>
              </w:rPr>
              <w:t xml:space="preserve"> Шахунья д. </w:t>
            </w:r>
            <w:proofErr w:type="spellStart"/>
            <w:r>
              <w:rPr>
                <w:szCs w:val="28"/>
              </w:rPr>
              <w:t>Зубанья</w:t>
            </w:r>
            <w:proofErr w:type="spellEnd"/>
            <w:r>
              <w:rPr>
                <w:szCs w:val="28"/>
              </w:rPr>
              <w:t xml:space="preserve"> ул. </w:t>
            </w:r>
            <w:proofErr w:type="spellStart"/>
            <w:r>
              <w:rPr>
                <w:szCs w:val="28"/>
              </w:rPr>
              <w:t>Базовская</w:t>
            </w:r>
            <w:proofErr w:type="spellEnd"/>
          </w:p>
        </w:tc>
        <w:tc>
          <w:tcPr>
            <w:tcW w:w="1816" w:type="dxa"/>
            <w:vAlign w:val="center"/>
          </w:tcPr>
          <w:p w:rsidR="00281B1E" w:rsidRDefault="00281B1E" w:rsidP="002E72C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676" w:type="dxa"/>
            <w:vAlign w:val="center"/>
          </w:tcPr>
          <w:p w:rsidR="00281B1E" w:rsidRDefault="00C96F0E" w:rsidP="00C96F0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28,925</w:t>
            </w:r>
          </w:p>
        </w:tc>
        <w:tc>
          <w:tcPr>
            <w:tcW w:w="3028" w:type="dxa"/>
            <w:vAlign w:val="center"/>
          </w:tcPr>
          <w:p w:rsidR="00281B1E" w:rsidRDefault="00C96F0E" w:rsidP="001B28A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1,694</w:t>
            </w:r>
          </w:p>
        </w:tc>
      </w:tr>
    </w:tbl>
    <w:p w:rsidR="00211B72" w:rsidRDefault="00211B72" w:rsidP="000C0C6D">
      <w:pPr>
        <w:rPr>
          <w:szCs w:val="28"/>
        </w:rPr>
      </w:pPr>
    </w:p>
    <w:sectPr w:rsidR="00211B72" w:rsidSect="0069652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95C"/>
    <w:multiLevelType w:val="hybridMultilevel"/>
    <w:tmpl w:val="691CBC0A"/>
    <w:lvl w:ilvl="0" w:tplc="585C169A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F63E0"/>
    <w:multiLevelType w:val="hybridMultilevel"/>
    <w:tmpl w:val="FF920758"/>
    <w:lvl w:ilvl="0" w:tplc="D4A0A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07C06"/>
    <w:multiLevelType w:val="hybridMultilevel"/>
    <w:tmpl w:val="C97C51E6"/>
    <w:lvl w:ilvl="0" w:tplc="C1DC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476E0"/>
    <w:multiLevelType w:val="hybridMultilevel"/>
    <w:tmpl w:val="6EAAD4C2"/>
    <w:lvl w:ilvl="0" w:tplc="D47C1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328"/>
    <w:rsid w:val="00011A08"/>
    <w:rsid w:val="000C0C6D"/>
    <w:rsid w:val="00176058"/>
    <w:rsid w:val="0018375C"/>
    <w:rsid w:val="001B28A0"/>
    <w:rsid w:val="001D6050"/>
    <w:rsid w:val="00211B72"/>
    <w:rsid w:val="002216A6"/>
    <w:rsid w:val="002709D4"/>
    <w:rsid w:val="00281B1E"/>
    <w:rsid w:val="002B237C"/>
    <w:rsid w:val="002E72CE"/>
    <w:rsid w:val="00303979"/>
    <w:rsid w:val="00325EC5"/>
    <w:rsid w:val="00332BD8"/>
    <w:rsid w:val="003531BB"/>
    <w:rsid w:val="004149AF"/>
    <w:rsid w:val="00484464"/>
    <w:rsid w:val="004A4F41"/>
    <w:rsid w:val="004C1D79"/>
    <w:rsid w:val="004E4304"/>
    <w:rsid w:val="004F3DDD"/>
    <w:rsid w:val="00610BCC"/>
    <w:rsid w:val="00633E5C"/>
    <w:rsid w:val="00647328"/>
    <w:rsid w:val="00674DBF"/>
    <w:rsid w:val="006923FA"/>
    <w:rsid w:val="00696528"/>
    <w:rsid w:val="006A20E2"/>
    <w:rsid w:val="006C64DA"/>
    <w:rsid w:val="007105C7"/>
    <w:rsid w:val="00732CF3"/>
    <w:rsid w:val="007F4FF2"/>
    <w:rsid w:val="00810524"/>
    <w:rsid w:val="00845C53"/>
    <w:rsid w:val="008C73D9"/>
    <w:rsid w:val="00996480"/>
    <w:rsid w:val="00A317EF"/>
    <w:rsid w:val="00A713AE"/>
    <w:rsid w:val="00BA4395"/>
    <w:rsid w:val="00C05F29"/>
    <w:rsid w:val="00C138EE"/>
    <w:rsid w:val="00C34516"/>
    <w:rsid w:val="00C61CE4"/>
    <w:rsid w:val="00C74033"/>
    <w:rsid w:val="00C77163"/>
    <w:rsid w:val="00C86C74"/>
    <w:rsid w:val="00C96F0E"/>
    <w:rsid w:val="00D42BDF"/>
    <w:rsid w:val="00DA480C"/>
    <w:rsid w:val="00E02AD2"/>
    <w:rsid w:val="00E66760"/>
    <w:rsid w:val="00FB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2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6528"/>
    <w:pPr>
      <w:ind w:left="720"/>
      <w:contextualSpacing/>
    </w:pPr>
  </w:style>
  <w:style w:type="table" w:styleId="a6">
    <w:name w:val="Table Grid"/>
    <w:basedOn w:val="a1"/>
    <w:uiPriority w:val="59"/>
    <w:rsid w:val="0048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B586C-67B0-4B1F-8872-7EB100ED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user</cp:lastModifiedBy>
  <cp:revision>79</cp:revision>
  <cp:lastPrinted>2020-02-11T11:27:00Z</cp:lastPrinted>
  <dcterms:created xsi:type="dcterms:W3CDTF">2019-02-12T12:54:00Z</dcterms:created>
  <dcterms:modified xsi:type="dcterms:W3CDTF">2020-02-11T11:38:00Z</dcterms:modified>
</cp:coreProperties>
</file>